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79" w:rsidRPr="00495818" w:rsidRDefault="00F53779" w:rsidP="00F53779">
      <w:pPr>
        <w:tabs>
          <w:tab w:val="left" w:pos="5194"/>
        </w:tabs>
        <w:spacing w:line="360" w:lineRule="auto"/>
        <w:jc w:val="both"/>
        <w:rPr>
          <w:rFonts w:ascii="Tahoma" w:hAnsi="Tahoma"/>
          <w:sz w:val="14"/>
          <w:szCs w:val="14"/>
        </w:rPr>
      </w:pPr>
      <w:bookmarkStart w:id="0" w:name="_GoBack"/>
      <w:bookmarkEnd w:id="0"/>
    </w:p>
    <w:p w:rsidR="003558C0" w:rsidRPr="00495818" w:rsidRDefault="003558C0" w:rsidP="00F53779">
      <w:pPr>
        <w:tabs>
          <w:tab w:val="left" w:pos="5194"/>
        </w:tabs>
        <w:spacing w:line="360" w:lineRule="auto"/>
        <w:jc w:val="both"/>
        <w:rPr>
          <w:rFonts w:ascii="Tahoma" w:hAnsi="Tahoma"/>
          <w:sz w:val="14"/>
          <w:szCs w:val="14"/>
        </w:rPr>
      </w:pPr>
    </w:p>
    <w:p w:rsidR="00F04FCC" w:rsidRPr="00495818" w:rsidRDefault="00F04FCC" w:rsidP="00F53779">
      <w:pPr>
        <w:tabs>
          <w:tab w:val="left" w:pos="5194"/>
        </w:tabs>
        <w:spacing w:line="360" w:lineRule="auto"/>
        <w:jc w:val="both"/>
        <w:rPr>
          <w:rFonts w:ascii="Tahoma" w:hAnsi="Tahoma"/>
          <w:sz w:val="14"/>
          <w:szCs w:val="14"/>
        </w:rPr>
      </w:pPr>
    </w:p>
    <w:p w:rsidR="00F53779" w:rsidRPr="008358F7" w:rsidRDefault="008358F7" w:rsidP="008358F7">
      <w:pPr>
        <w:tabs>
          <w:tab w:val="left" w:pos="5194"/>
        </w:tabs>
        <w:jc w:val="center"/>
        <w:rPr>
          <w:rFonts w:ascii="Tahoma" w:hAnsi="Tahoma"/>
          <w:b/>
          <w:sz w:val="32"/>
          <w:szCs w:val="32"/>
        </w:rPr>
      </w:pPr>
      <w:r w:rsidRPr="008358F7">
        <w:rPr>
          <w:rFonts w:ascii="Tahoma" w:hAnsi="Tahoma"/>
          <w:b/>
          <w:sz w:val="32"/>
          <w:szCs w:val="32"/>
        </w:rPr>
        <w:t>COMUNICATO STAMPA</w:t>
      </w:r>
    </w:p>
    <w:p w:rsidR="00F53779" w:rsidRPr="002700BC" w:rsidRDefault="00F53779" w:rsidP="00F53779">
      <w:pPr>
        <w:spacing w:line="360" w:lineRule="auto"/>
        <w:jc w:val="both"/>
        <w:rPr>
          <w:rFonts w:ascii="Tahoma" w:hAnsi="Tahoma"/>
          <w:sz w:val="14"/>
          <w:szCs w:val="14"/>
        </w:rPr>
      </w:pPr>
    </w:p>
    <w:p w:rsidR="00990A7C" w:rsidRDefault="00990A7C" w:rsidP="00F53779">
      <w:pPr>
        <w:spacing w:line="360" w:lineRule="auto"/>
        <w:jc w:val="both"/>
        <w:rPr>
          <w:rFonts w:ascii="Tahoma" w:hAnsi="Tahoma"/>
          <w:sz w:val="14"/>
          <w:szCs w:val="14"/>
        </w:rPr>
      </w:pPr>
    </w:p>
    <w:p w:rsidR="0010232D" w:rsidRPr="002700BC" w:rsidRDefault="0010232D" w:rsidP="00F53779">
      <w:pPr>
        <w:spacing w:line="360" w:lineRule="auto"/>
        <w:jc w:val="both"/>
        <w:rPr>
          <w:rFonts w:ascii="Tahoma" w:hAnsi="Tahoma"/>
          <w:sz w:val="14"/>
          <w:szCs w:val="14"/>
        </w:rPr>
      </w:pPr>
    </w:p>
    <w:p w:rsidR="00455717" w:rsidRPr="009D1660" w:rsidRDefault="009D1660" w:rsidP="00455717">
      <w:pPr>
        <w:adjustRightInd w:val="0"/>
        <w:jc w:val="center"/>
        <w:rPr>
          <w:rFonts w:ascii="Tahoma" w:hAnsi="Tahoma" w:cs="Tahoma"/>
          <w:b/>
          <w:bCs/>
          <w:i/>
          <w:iCs/>
          <w:color w:val="000000"/>
          <w:sz w:val="22"/>
          <w:szCs w:val="22"/>
        </w:rPr>
      </w:pPr>
      <w:r w:rsidRPr="009D1660">
        <w:rPr>
          <w:rFonts w:ascii="Tahoma" w:hAnsi="Tahoma" w:cs="Tahoma"/>
          <w:b/>
          <w:bCs/>
          <w:i/>
          <w:iCs/>
          <w:color w:val="000000"/>
          <w:sz w:val="22"/>
          <w:szCs w:val="22"/>
        </w:rPr>
        <w:t>D</w:t>
      </w:r>
      <w:r w:rsidR="00455717" w:rsidRPr="009D1660">
        <w:rPr>
          <w:rFonts w:ascii="Tahoma" w:hAnsi="Tahoma" w:cs="Tahoma"/>
          <w:b/>
          <w:bCs/>
          <w:i/>
          <w:iCs/>
          <w:color w:val="000000"/>
          <w:sz w:val="22"/>
          <w:szCs w:val="22"/>
        </w:rPr>
        <w:t>ietro le quinte</w:t>
      </w:r>
      <w:r w:rsidRPr="009D1660">
        <w:rPr>
          <w:rFonts w:ascii="Tahoma" w:hAnsi="Tahoma" w:cs="Tahoma"/>
          <w:b/>
          <w:bCs/>
          <w:i/>
          <w:iCs/>
          <w:color w:val="000000"/>
          <w:sz w:val="22"/>
          <w:szCs w:val="22"/>
        </w:rPr>
        <w:t xml:space="preserve"> della più chiacchierata ma sempreverde rassegna della musica italiana</w:t>
      </w:r>
    </w:p>
    <w:p w:rsidR="00182CB4" w:rsidRPr="00A32F9F" w:rsidRDefault="00D51809" w:rsidP="00F53779">
      <w:pPr>
        <w:jc w:val="center"/>
        <w:rPr>
          <w:rFonts w:ascii="Tahoma" w:hAnsi="Tahoma"/>
          <w:b/>
          <w:color w:val="CC0000"/>
          <w:sz w:val="80"/>
          <w:szCs w:val="80"/>
        </w:rPr>
      </w:pPr>
      <w:r w:rsidRPr="00A32F9F">
        <w:rPr>
          <w:rFonts w:ascii="Tahoma" w:hAnsi="Tahoma"/>
          <w:b/>
          <w:color w:val="CC0000"/>
          <w:sz w:val="80"/>
          <w:szCs w:val="80"/>
        </w:rPr>
        <w:t>Nonostante Sanremo</w:t>
      </w:r>
    </w:p>
    <w:p w:rsidR="00730923" w:rsidRPr="00066F4B" w:rsidRDefault="001B1E98" w:rsidP="00730923">
      <w:pPr>
        <w:jc w:val="center"/>
        <w:rPr>
          <w:rFonts w:ascii="Tahoma" w:hAnsi="Tahoma" w:cs="Tahoma"/>
          <w:b/>
          <w:bCs/>
          <w:i/>
          <w:iCs/>
          <w:color w:val="000000"/>
          <w:highlight w:val="yellow"/>
        </w:rPr>
      </w:pPr>
      <w:r w:rsidRPr="00066F4B">
        <w:rPr>
          <w:rFonts w:ascii="Tahoma" w:hAnsi="Tahoma" w:cs="Tahoma"/>
          <w:b/>
          <w:bCs/>
          <w:i/>
          <w:iCs/>
          <w:color w:val="000000"/>
          <w:highlight w:val="yellow"/>
        </w:rPr>
        <w:t xml:space="preserve">1958-2008: </w:t>
      </w:r>
      <w:r w:rsidR="009D1660" w:rsidRPr="00066F4B">
        <w:rPr>
          <w:rFonts w:ascii="Tahoma" w:hAnsi="Tahoma" w:cs="Tahoma"/>
          <w:b/>
          <w:bCs/>
          <w:i/>
          <w:iCs/>
          <w:color w:val="000000"/>
          <w:highlight w:val="yellow"/>
        </w:rPr>
        <w:t xml:space="preserve">cinquant’anni per raccontare </w:t>
      </w:r>
      <w:r w:rsidRPr="00066F4B">
        <w:rPr>
          <w:rFonts w:ascii="Tahoma" w:hAnsi="Tahoma" w:cs="Tahoma"/>
          <w:b/>
          <w:bCs/>
          <w:i/>
          <w:iCs/>
          <w:color w:val="000000"/>
          <w:highlight w:val="yellow"/>
        </w:rPr>
        <w:t>arte e canzone al Festival</w:t>
      </w:r>
    </w:p>
    <w:p w:rsidR="00066F4B" w:rsidRPr="009D1660" w:rsidRDefault="00563EB7" w:rsidP="00730923">
      <w:pPr>
        <w:jc w:val="center"/>
        <w:rPr>
          <w:rFonts w:ascii="Tahoma" w:hAnsi="Tahoma" w:cs="Tahoma"/>
          <w:b/>
          <w:bCs/>
          <w:i/>
          <w:iCs/>
          <w:color w:val="000000"/>
        </w:rPr>
      </w:pPr>
      <w:r>
        <w:rPr>
          <w:rFonts w:ascii="Tahoma" w:hAnsi="Tahoma" w:cs="Tahoma"/>
          <w:b/>
          <w:bCs/>
          <w:i/>
          <w:iCs/>
          <w:color w:val="000000"/>
          <w:highlight w:val="yellow"/>
        </w:rPr>
        <w:t>domenica</w:t>
      </w:r>
      <w:r w:rsidR="00066F4B" w:rsidRPr="00066F4B">
        <w:rPr>
          <w:rFonts w:ascii="Tahoma" w:hAnsi="Tahoma" w:cs="Tahoma"/>
          <w:b/>
          <w:bCs/>
          <w:i/>
          <w:iCs/>
          <w:color w:val="000000"/>
          <w:highlight w:val="yellow"/>
        </w:rPr>
        <w:t xml:space="preserve"> 1</w:t>
      </w:r>
      <w:r>
        <w:rPr>
          <w:rFonts w:ascii="Tahoma" w:hAnsi="Tahoma" w:cs="Tahoma"/>
          <w:b/>
          <w:bCs/>
          <w:i/>
          <w:iCs/>
          <w:color w:val="000000"/>
          <w:highlight w:val="yellow"/>
        </w:rPr>
        <w:t>5</w:t>
      </w:r>
      <w:r w:rsidR="00066F4B" w:rsidRPr="00066F4B">
        <w:rPr>
          <w:rFonts w:ascii="Tahoma" w:hAnsi="Tahoma" w:cs="Tahoma"/>
          <w:b/>
          <w:bCs/>
          <w:i/>
          <w:iCs/>
          <w:color w:val="000000"/>
          <w:highlight w:val="yellow"/>
        </w:rPr>
        <w:t xml:space="preserve"> </w:t>
      </w:r>
      <w:r>
        <w:rPr>
          <w:rFonts w:ascii="Tahoma" w:hAnsi="Tahoma" w:cs="Tahoma"/>
          <w:b/>
          <w:bCs/>
          <w:i/>
          <w:iCs/>
          <w:color w:val="000000"/>
          <w:highlight w:val="yellow"/>
        </w:rPr>
        <w:t>m</w:t>
      </w:r>
      <w:r w:rsidR="00066F4B" w:rsidRPr="00066F4B">
        <w:rPr>
          <w:rFonts w:ascii="Tahoma" w:hAnsi="Tahoma" w:cs="Tahoma"/>
          <w:b/>
          <w:bCs/>
          <w:i/>
          <w:iCs/>
          <w:color w:val="000000"/>
          <w:highlight w:val="yellow"/>
        </w:rPr>
        <w:t>a</w:t>
      </w:r>
      <w:r>
        <w:rPr>
          <w:rFonts w:ascii="Tahoma" w:hAnsi="Tahoma" w:cs="Tahoma"/>
          <w:b/>
          <w:bCs/>
          <w:i/>
          <w:iCs/>
          <w:color w:val="000000"/>
          <w:highlight w:val="yellow"/>
        </w:rPr>
        <w:t>rz</w:t>
      </w:r>
      <w:r w:rsidR="00066F4B" w:rsidRPr="00066F4B">
        <w:rPr>
          <w:rFonts w:ascii="Tahoma" w:hAnsi="Tahoma" w:cs="Tahoma"/>
          <w:b/>
          <w:bCs/>
          <w:i/>
          <w:iCs/>
          <w:color w:val="000000"/>
          <w:highlight w:val="yellow"/>
        </w:rPr>
        <w:t xml:space="preserve">o al </w:t>
      </w:r>
      <w:r>
        <w:rPr>
          <w:rFonts w:ascii="Tahoma" w:hAnsi="Tahoma" w:cs="Tahoma"/>
          <w:b/>
          <w:bCs/>
          <w:i/>
          <w:iCs/>
          <w:color w:val="000000"/>
          <w:highlight w:val="yellow"/>
        </w:rPr>
        <w:t>433 N</w:t>
      </w:r>
      <w:r w:rsidRPr="00563EB7">
        <w:rPr>
          <w:rFonts w:ascii="Tahoma" w:hAnsi="Tahoma" w:cs="Tahoma"/>
          <w:b/>
          <w:bCs/>
          <w:i/>
          <w:iCs/>
          <w:color w:val="000000"/>
          <w:highlight w:val="yellow"/>
        </w:rPr>
        <w:t>ext Bar di Roma</w:t>
      </w:r>
    </w:p>
    <w:p w:rsidR="00F53779" w:rsidRPr="00844AB2" w:rsidRDefault="00F53779" w:rsidP="008358F7">
      <w:pPr>
        <w:jc w:val="both"/>
        <w:rPr>
          <w:rFonts w:ascii="Tahoma" w:hAnsi="Tahoma"/>
          <w:sz w:val="12"/>
          <w:szCs w:val="12"/>
        </w:rPr>
      </w:pPr>
    </w:p>
    <w:p w:rsidR="00F53779" w:rsidRPr="00844AB2" w:rsidRDefault="00F53779" w:rsidP="008358F7">
      <w:pPr>
        <w:jc w:val="both"/>
        <w:rPr>
          <w:rFonts w:ascii="Tahoma" w:hAnsi="Tahoma"/>
          <w:sz w:val="12"/>
          <w:szCs w:val="12"/>
        </w:rPr>
      </w:pPr>
    </w:p>
    <w:p w:rsidR="00B54416" w:rsidRPr="00305FFD" w:rsidRDefault="00B54416" w:rsidP="008358F7">
      <w:pPr>
        <w:jc w:val="both"/>
        <w:rPr>
          <w:rFonts w:ascii="Tahoma" w:hAnsi="Tahoma" w:cs="Tahoma"/>
          <w:sz w:val="22"/>
          <w:szCs w:val="22"/>
        </w:rPr>
      </w:pPr>
    </w:p>
    <w:p w:rsidR="0006111B" w:rsidRPr="00305FFD" w:rsidRDefault="0006111B" w:rsidP="008358F7">
      <w:pPr>
        <w:jc w:val="both"/>
        <w:rPr>
          <w:rFonts w:ascii="Tahoma" w:hAnsi="Tahoma" w:cs="Tahoma"/>
          <w:sz w:val="22"/>
          <w:szCs w:val="22"/>
        </w:rPr>
      </w:pPr>
    </w:p>
    <w:p w:rsidR="001B1E98" w:rsidRDefault="00D51809" w:rsidP="001B1E98">
      <w:pPr>
        <w:autoSpaceDE w:val="0"/>
        <w:autoSpaceDN w:val="0"/>
        <w:adjustRightInd w:val="0"/>
        <w:spacing w:line="320" w:lineRule="exact"/>
        <w:jc w:val="both"/>
        <w:rPr>
          <w:rFonts w:ascii="Tahoma" w:hAnsi="Tahoma" w:cs="Tahoma"/>
          <w:sz w:val="22"/>
          <w:szCs w:val="22"/>
        </w:rPr>
      </w:pPr>
      <w:r w:rsidRPr="002026CF">
        <w:rPr>
          <w:rFonts w:ascii="Tahoma" w:hAnsi="Tahoma" w:cs="Tahoma"/>
          <w:sz w:val="22"/>
          <w:szCs w:val="22"/>
        </w:rPr>
        <w:t xml:space="preserve">«L’obiettivo primario di una Rassegna della nostra canzone dovrebbe essere la partecipazione degli autori, musicisti, cantanti, la più larga possibile e tale da rappresentare a ogni livello di gusto la maniera – e le maniere – italiane di far canzoni e cantarle. Dico “ogni livello possibile di gusto” per evitare equivoci che hanno portato anche me, in passato, a considerare buona una brutta canzone impegnata e brutta una stupenda filastrocca votata al più totale disimpegno. E tutto ciò a causa di un ignobile pregiudizio pseudo-culturale che mi impediva di comprendere che </w:t>
      </w:r>
      <w:r w:rsidRPr="00B43133">
        <w:rPr>
          <w:rFonts w:ascii="Tahoma" w:hAnsi="Tahoma" w:cs="Tahoma"/>
          <w:i/>
          <w:sz w:val="22"/>
          <w:szCs w:val="22"/>
        </w:rPr>
        <w:t>Scacchi e tarocchi</w:t>
      </w:r>
      <w:r w:rsidRPr="002026CF">
        <w:rPr>
          <w:rFonts w:ascii="Tahoma" w:hAnsi="Tahoma" w:cs="Tahoma"/>
          <w:sz w:val="22"/>
          <w:szCs w:val="22"/>
        </w:rPr>
        <w:t xml:space="preserve"> di De Gregori e </w:t>
      </w:r>
      <w:r w:rsidRPr="00B43133">
        <w:rPr>
          <w:rFonts w:ascii="Tahoma" w:hAnsi="Tahoma" w:cs="Tahoma"/>
          <w:i/>
          <w:sz w:val="22"/>
          <w:szCs w:val="22"/>
        </w:rPr>
        <w:t>Papaveri e papere</w:t>
      </w:r>
      <w:r w:rsidRPr="002026CF">
        <w:rPr>
          <w:rFonts w:ascii="Tahoma" w:hAnsi="Tahoma" w:cs="Tahoma"/>
          <w:sz w:val="22"/>
          <w:szCs w:val="22"/>
        </w:rPr>
        <w:t xml:space="preserve"> cantata da Nilla Pizzi al Sanremo 1952 siano due canzoni diversa</w:t>
      </w:r>
      <w:r w:rsidR="00B43133">
        <w:rPr>
          <w:rFonts w:ascii="Tahoma" w:hAnsi="Tahoma" w:cs="Tahoma"/>
          <w:sz w:val="22"/>
          <w:szCs w:val="22"/>
        </w:rPr>
        <w:t>-</w:t>
      </w:r>
      <w:r w:rsidRPr="002026CF">
        <w:rPr>
          <w:rFonts w:ascii="Tahoma" w:hAnsi="Tahoma" w:cs="Tahoma"/>
          <w:sz w:val="22"/>
          <w:szCs w:val="22"/>
        </w:rPr>
        <w:t>mente bellissime: il discorso, è ovvio, vale anche per il pregiudizio contrario».</w:t>
      </w:r>
      <w:r w:rsidR="00B43133">
        <w:rPr>
          <w:rFonts w:ascii="Tahoma" w:hAnsi="Tahoma" w:cs="Tahoma"/>
          <w:sz w:val="22"/>
          <w:szCs w:val="22"/>
        </w:rPr>
        <w:t xml:space="preserve"> Questo acuto commento di</w:t>
      </w:r>
      <w:r w:rsidR="00B43133">
        <w:rPr>
          <w:rFonts w:ascii="Tahoma" w:hAnsi="Tahoma" w:cs="Tahoma"/>
          <w:b/>
          <w:i/>
          <w:sz w:val="22"/>
          <w:szCs w:val="22"/>
        </w:rPr>
        <w:t xml:space="preserve"> </w:t>
      </w:r>
      <w:r w:rsidRPr="00B43133">
        <w:rPr>
          <w:rFonts w:ascii="Tahoma" w:hAnsi="Tahoma" w:cs="Tahoma"/>
          <w:b/>
          <w:sz w:val="22"/>
          <w:szCs w:val="22"/>
        </w:rPr>
        <w:t>Fabrizio De André</w:t>
      </w:r>
      <w:r w:rsidR="00B43133">
        <w:rPr>
          <w:rFonts w:ascii="Tahoma" w:hAnsi="Tahoma" w:cs="Tahoma"/>
          <w:b/>
          <w:sz w:val="22"/>
          <w:szCs w:val="22"/>
        </w:rPr>
        <w:t xml:space="preserve"> </w:t>
      </w:r>
      <w:r w:rsidR="00B43133">
        <w:rPr>
          <w:rFonts w:ascii="Tahoma" w:hAnsi="Tahoma" w:cs="Tahoma"/>
          <w:sz w:val="22"/>
          <w:szCs w:val="22"/>
        </w:rPr>
        <w:t xml:space="preserve">prelude all’articolata disamina che </w:t>
      </w:r>
      <w:r w:rsidR="001B1E98">
        <w:rPr>
          <w:rFonts w:ascii="Tahoma" w:hAnsi="Tahoma" w:cs="Tahoma"/>
          <w:b/>
          <w:color w:val="000000"/>
          <w:sz w:val="22"/>
          <w:szCs w:val="22"/>
        </w:rPr>
        <w:t xml:space="preserve">Paolo Jachia </w:t>
      </w:r>
      <w:r w:rsidR="001B1E98" w:rsidRPr="001B1E98">
        <w:rPr>
          <w:rFonts w:ascii="Tahoma" w:hAnsi="Tahoma" w:cs="Tahoma"/>
          <w:color w:val="000000"/>
          <w:sz w:val="22"/>
          <w:szCs w:val="22"/>
        </w:rPr>
        <w:t>e</w:t>
      </w:r>
      <w:r w:rsidR="001B1E98">
        <w:rPr>
          <w:rFonts w:ascii="Tahoma" w:hAnsi="Tahoma" w:cs="Tahoma"/>
          <w:b/>
          <w:color w:val="000000"/>
          <w:sz w:val="22"/>
          <w:szCs w:val="22"/>
        </w:rPr>
        <w:t xml:space="preserve"> Francesco Paracchini</w:t>
      </w:r>
      <w:r w:rsidR="001B1E98">
        <w:rPr>
          <w:rFonts w:ascii="Tahoma" w:hAnsi="Tahoma" w:cs="Tahoma"/>
          <w:color w:val="000000"/>
          <w:sz w:val="22"/>
          <w:szCs w:val="22"/>
        </w:rPr>
        <w:t xml:space="preserve"> </w:t>
      </w:r>
      <w:r w:rsidR="00B43133">
        <w:rPr>
          <w:rFonts w:ascii="Tahoma" w:hAnsi="Tahoma" w:cs="Tahoma"/>
          <w:color w:val="000000"/>
          <w:sz w:val="22"/>
          <w:szCs w:val="22"/>
        </w:rPr>
        <w:t xml:space="preserve">hanno deciso </w:t>
      </w:r>
      <w:r w:rsidR="001B1E98" w:rsidRPr="00CC339E">
        <w:rPr>
          <w:rFonts w:ascii="Tahoma" w:hAnsi="Tahoma" w:cs="Tahoma"/>
          <w:color w:val="000000"/>
          <w:sz w:val="22"/>
          <w:szCs w:val="22"/>
        </w:rPr>
        <w:t>di</w:t>
      </w:r>
      <w:r w:rsidR="00B43133">
        <w:rPr>
          <w:rFonts w:ascii="Tahoma" w:hAnsi="Tahoma" w:cs="Tahoma"/>
          <w:color w:val="000000"/>
          <w:sz w:val="22"/>
          <w:szCs w:val="22"/>
        </w:rPr>
        <w:t xml:space="preserve"> dedicare al più importante Festival della canzone italiana in </w:t>
      </w:r>
      <w:r w:rsidR="001B1E98">
        <w:rPr>
          <w:rFonts w:ascii="Tahoma" w:hAnsi="Tahoma" w:cs="Tahoma"/>
          <w:b/>
          <w:i/>
          <w:color w:val="CC0000"/>
          <w:sz w:val="22"/>
          <w:szCs w:val="22"/>
        </w:rPr>
        <w:t>Nonostante Sanremo</w:t>
      </w:r>
      <w:r w:rsidR="00B43133">
        <w:rPr>
          <w:rFonts w:ascii="Tahoma" w:hAnsi="Tahoma" w:cs="Tahoma"/>
          <w:b/>
          <w:i/>
          <w:color w:val="CC0000"/>
          <w:sz w:val="22"/>
          <w:szCs w:val="22"/>
        </w:rPr>
        <w:t>. 1958-2008: arte e canzone al Festival</w:t>
      </w:r>
      <w:r w:rsidR="001B1E98" w:rsidRPr="00CC339E">
        <w:rPr>
          <w:rFonts w:ascii="Tahoma" w:hAnsi="Tahoma" w:cs="Tahoma"/>
          <w:iCs/>
          <w:sz w:val="22"/>
          <w:szCs w:val="22"/>
        </w:rPr>
        <w:t xml:space="preserve"> </w:t>
      </w:r>
      <w:r w:rsidR="001B1E98" w:rsidRPr="00CC339E">
        <w:rPr>
          <w:rFonts w:ascii="Tahoma" w:hAnsi="Tahoma" w:cs="Tahoma"/>
          <w:sz w:val="22"/>
          <w:szCs w:val="22"/>
        </w:rPr>
        <w:t xml:space="preserve">(pagg. </w:t>
      </w:r>
      <w:r w:rsidR="001B1E98">
        <w:rPr>
          <w:rFonts w:ascii="Tahoma" w:hAnsi="Tahoma" w:cs="Tahoma"/>
          <w:sz w:val="22"/>
          <w:szCs w:val="22"/>
        </w:rPr>
        <w:t>272</w:t>
      </w:r>
      <w:r w:rsidR="001B1E98" w:rsidRPr="00CC339E">
        <w:rPr>
          <w:rFonts w:ascii="Tahoma" w:hAnsi="Tahoma" w:cs="Tahoma"/>
          <w:sz w:val="22"/>
          <w:szCs w:val="22"/>
        </w:rPr>
        <w:t>, euro 1</w:t>
      </w:r>
      <w:r w:rsidR="001B1E98">
        <w:rPr>
          <w:rFonts w:ascii="Tahoma" w:hAnsi="Tahoma" w:cs="Tahoma"/>
          <w:sz w:val="22"/>
          <w:szCs w:val="22"/>
        </w:rPr>
        <w:t>4,50</w:t>
      </w:r>
      <w:r w:rsidR="001B1E98" w:rsidRPr="00CC339E">
        <w:rPr>
          <w:rFonts w:ascii="Tahoma" w:hAnsi="Tahoma" w:cs="Tahoma"/>
          <w:sz w:val="22"/>
          <w:szCs w:val="22"/>
        </w:rPr>
        <w:t>).</w:t>
      </w:r>
      <w:r w:rsidR="00066F4B">
        <w:rPr>
          <w:rFonts w:ascii="Tahoma" w:hAnsi="Tahoma" w:cs="Tahoma"/>
          <w:sz w:val="22"/>
          <w:szCs w:val="22"/>
        </w:rPr>
        <w:t xml:space="preserve"> </w:t>
      </w:r>
    </w:p>
    <w:p w:rsidR="00066F4B" w:rsidRPr="00066F4B" w:rsidRDefault="00066F4B" w:rsidP="001B1E98">
      <w:pPr>
        <w:autoSpaceDE w:val="0"/>
        <w:autoSpaceDN w:val="0"/>
        <w:adjustRightInd w:val="0"/>
        <w:spacing w:line="320" w:lineRule="exact"/>
        <w:jc w:val="both"/>
        <w:rPr>
          <w:rFonts w:ascii="Tahoma" w:hAnsi="Tahoma" w:cs="Tahoma"/>
          <w:sz w:val="22"/>
          <w:szCs w:val="22"/>
        </w:rPr>
      </w:pPr>
      <w:r w:rsidRPr="00066F4B">
        <w:rPr>
          <w:rFonts w:ascii="Tahoma" w:hAnsi="Tahoma" w:cs="Tahoma"/>
          <w:sz w:val="22"/>
          <w:szCs w:val="22"/>
          <w:highlight w:val="yellow"/>
        </w:rPr>
        <w:t xml:space="preserve">Il libro sarà presentato </w:t>
      </w:r>
      <w:r w:rsidR="00563EB7">
        <w:rPr>
          <w:rFonts w:ascii="Tahoma" w:hAnsi="Tahoma" w:cs="Tahoma"/>
          <w:b/>
          <w:sz w:val="22"/>
          <w:szCs w:val="22"/>
          <w:highlight w:val="yellow"/>
        </w:rPr>
        <w:t>domenica</w:t>
      </w:r>
      <w:r w:rsidRPr="00066F4B">
        <w:rPr>
          <w:rFonts w:ascii="Tahoma" w:hAnsi="Tahoma" w:cs="Tahoma"/>
          <w:b/>
          <w:sz w:val="22"/>
          <w:szCs w:val="22"/>
          <w:highlight w:val="yellow"/>
        </w:rPr>
        <w:t xml:space="preserve"> 1</w:t>
      </w:r>
      <w:r w:rsidR="00563EB7">
        <w:rPr>
          <w:rFonts w:ascii="Tahoma" w:hAnsi="Tahoma" w:cs="Tahoma"/>
          <w:b/>
          <w:sz w:val="22"/>
          <w:szCs w:val="22"/>
          <w:highlight w:val="yellow"/>
        </w:rPr>
        <w:t>5</w:t>
      </w:r>
      <w:r w:rsidRPr="00066F4B">
        <w:rPr>
          <w:rFonts w:ascii="Tahoma" w:hAnsi="Tahoma" w:cs="Tahoma"/>
          <w:b/>
          <w:sz w:val="22"/>
          <w:szCs w:val="22"/>
          <w:highlight w:val="yellow"/>
        </w:rPr>
        <w:t xml:space="preserve"> </w:t>
      </w:r>
      <w:r w:rsidR="00563EB7">
        <w:rPr>
          <w:rFonts w:ascii="Tahoma" w:hAnsi="Tahoma" w:cs="Tahoma"/>
          <w:b/>
          <w:sz w:val="22"/>
          <w:szCs w:val="22"/>
          <w:highlight w:val="yellow"/>
        </w:rPr>
        <w:t>marzo</w:t>
      </w:r>
      <w:r w:rsidRPr="00066F4B">
        <w:rPr>
          <w:rFonts w:ascii="Tahoma" w:hAnsi="Tahoma" w:cs="Tahoma"/>
          <w:b/>
          <w:sz w:val="22"/>
          <w:szCs w:val="22"/>
          <w:highlight w:val="yellow"/>
        </w:rPr>
        <w:t xml:space="preserve"> </w:t>
      </w:r>
      <w:r w:rsidRPr="00066F4B">
        <w:rPr>
          <w:rFonts w:ascii="Tahoma" w:hAnsi="Tahoma" w:cs="Tahoma"/>
          <w:sz w:val="22"/>
          <w:szCs w:val="22"/>
          <w:highlight w:val="yellow"/>
        </w:rPr>
        <w:t xml:space="preserve">alle </w:t>
      </w:r>
      <w:r w:rsidRPr="00066F4B">
        <w:rPr>
          <w:rFonts w:ascii="Tahoma" w:hAnsi="Tahoma" w:cs="Tahoma"/>
          <w:b/>
          <w:sz w:val="22"/>
          <w:szCs w:val="22"/>
          <w:highlight w:val="yellow"/>
        </w:rPr>
        <w:t>1</w:t>
      </w:r>
      <w:r w:rsidR="00563EB7">
        <w:rPr>
          <w:rFonts w:ascii="Tahoma" w:hAnsi="Tahoma" w:cs="Tahoma"/>
          <w:b/>
          <w:sz w:val="22"/>
          <w:szCs w:val="22"/>
          <w:highlight w:val="yellow"/>
        </w:rPr>
        <w:t>9</w:t>
      </w:r>
      <w:r w:rsidRPr="00066F4B">
        <w:rPr>
          <w:rFonts w:ascii="Tahoma" w:hAnsi="Tahoma" w:cs="Tahoma"/>
          <w:sz w:val="22"/>
          <w:szCs w:val="22"/>
          <w:highlight w:val="yellow"/>
        </w:rPr>
        <w:t xml:space="preserve"> a</w:t>
      </w:r>
      <w:r w:rsidR="00563EB7">
        <w:rPr>
          <w:rFonts w:ascii="Tahoma" w:hAnsi="Tahoma" w:cs="Tahoma"/>
          <w:sz w:val="22"/>
          <w:szCs w:val="22"/>
          <w:highlight w:val="yellow"/>
        </w:rPr>
        <w:t>l</w:t>
      </w:r>
      <w:r w:rsidRPr="00066F4B">
        <w:rPr>
          <w:rFonts w:ascii="Tahoma" w:hAnsi="Tahoma" w:cs="Tahoma"/>
          <w:sz w:val="22"/>
          <w:szCs w:val="22"/>
          <w:highlight w:val="yellow"/>
        </w:rPr>
        <w:t xml:space="preserve"> </w:t>
      </w:r>
      <w:r w:rsidR="00563EB7">
        <w:rPr>
          <w:rFonts w:ascii="Tahoma" w:hAnsi="Tahoma" w:cs="Tahoma"/>
          <w:b/>
          <w:sz w:val="22"/>
          <w:szCs w:val="22"/>
          <w:highlight w:val="yellow"/>
        </w:rPr>
        <w:t>433 Next Bar</w:t>
      </w:r>
      <w:r w:rsidRPr="00066F4B">
        <w:rPr>
          <w:rFonts w:ascii="Tahoma" w:hAnsi="Tahoma" w:cs="Tahoma"/>
          <w:sz w:val="22"/>
          <w:szCs w:val="22"/>
          <w:highlight w:val="yellow"/>
        </w:rPr>
        <w:t xml:space="preserve"> </w:t>
      </w:r>
      <w:r w:rsidR="00563EB7">
        <w:rPr>
          <w:rFonts w:ascii="Tahoma" w:hAnsi="Tahoma" w:cs="Tahoma"/>
          <w:sz w:val="22"/>
          <w:szCs w:val="22"/>
          <w:highlight w:val="yellow"/>
        </w:rPr>
        <w:t>(Via del Governo Vecchio, 123) di</w:t>
      </w:r>
      <w:r w:rsidRPr="00066F4B">
        <w:rPr>
          <w:rFonts w:ascii="Tahoma" w:hAnsi="Tahoma" w:cs="Tahoma"/>
          <w:sz w:val="22"/>
          <w:szCs w:val="22"/>
          <w:highlight w:val="yellow"/>
        </w:rPr>
        <w:t xml:space="preserve"> </w:t>
      </w:r>
      <w:r w:rsidR="00563EB7">
        <w:rPr>
          <w:rFonts w:ascii="Tahoma" w:hAnsi="Tahoma" w:cs="Tahoma"/>
          <w:b/>
          <w:sz w:val="22"/>
          <w:szCs w:val="22"/>
          <w:highlight w:val="yellow"/>
        </w:rPr>
        <w:t>Roma</w:t>
      </w:r>
      <w:r w:rsidRPr="00066F4B">
        <w:rPr>
          <w:rFonts w:ascii="Tahoma" w:hAnsi="Tahoma" w:cs="Tahoma"/>
          <w:sz w:val="22"/>
          <w:szCs w:val="22"/>
          <w:highlight w:val="yellow"/>
        </w:rPr>
        <w:t xml:space="preserve">. Intervengono gli autori. </w:t>
      </w:r>
      <w:r w:rsidR="003D11DD">
        <w:rPr>
          <w:rFonts w:ascii="Tahoma" w:hAnsi="Tahoma" w:cs="Tahoma"/>
          <w:sz w:val="22"/>
          <w:szCs w:val="22"/>
          <w:highlight w:val="yellow"/>
        </w:rPr>
        <w:t>Partecipa il cantautore</w:t>
      </w:r>
      <w:r w:rsidRPr="00066F4B">
        <w:rPr>
          <w:rFonts w:ascii="Tahoma" w:hAnsi="Tahoma" w:cs="Tahoma"/>
          <w:sz w:val="22"/>
          <w:szCs w:val="22"/>
          <w:highlight w:val="yellow"/>
        </w:rPr>
        <w:t xml:space="preserve"> </w:t>
      </w:r>
      <w:r w:rsidR="003D11DD">
        <w:rPr>
          <w:rFonts w:ascii="Tahoma" w:hAnsi="Tahoma" w:cs="Tahoma"/>
          <w:b/>
          <w:sz w:val="22"/>
          <w:szCs w:val="22"/>
          <w:highlight w:val="yellow"/>
        </w:rPr>
        <w:t>Piji</w:t>
      </w:r>
      <w:r w:rsidRPr="00066F4B">
        <w:rPr>
          <w:rFonts w:ascii="Tahoma" w:hAnsi="Tahoma" w:cs="Tahoma"/>
          <w:sz w:val="22"/>
          <w:szCs w:val="22"/>
          <w:highlight w:val="yellow"/>
        </w:rPr>
        <w:t>.</w:t>
      </w:r>
    </w:p>
    <w:p w:rsidR="0039150C" w:rsidRPr="00305FFD" w:rsidRDefault="0039150C" w:rsidP="00E641BB">
      <w:pPr>
        <w:adjustRightInd w:val="0"/>
        <w:spacing w:line="320" w:lineRule="exact"/>
        <w:jc w:val="both"/>
        <w:rPr>
          <w:rFonts w:ascii="Tahoma" w:hAnsi="Tahoma" w:cs="Tahoma"/>
          <w:sz w:val="22"/>
          <w:szCs w:val="22"/>
        </w:rPr>
      </w:pPr>
    </w:p>
    <w:p w:rsidR="0039150C" w:rsidRPr="00305FFD" w:rsidRDefault="0039150C" w:rsidP="00E641BB">
      <w:pPr>
        <w:autoSpaceDE w:val="0"/>
        <w:autoSpaceDN w:val="0"/>
        <w:adjustRightInd w:val="0"/>
        <w:spacing w:line="320" w:lineRule="exact"/>
        <w:jc w:val="both"/>
        <w:rPr>
          <w:rFonts w:ascii="Tahoma" w:hAnsi="Tahoma" w:cs="Tahoma"/>
          <w:b/>
          <w:bCs/>
        </w:rPr>
      </w:pPr>
      <w:r w:rsidRPr="00305FFD">
        <w:rPr>
          <w:rFonts w:ascii="Tahoma" w:hAnsi="Tahoma" w:cs="Tahoma"/>
          <w:b/>
          <w:bCs/>
        </w:rPr>
        <w:t>IL LIBRO</w:t>
      </w:r>
    </w:p>
    <w:p w:rsidR="00D51809" w:rsidRDefault="00773D6A" w:rsidP="00E641BB">
      <w:pPr>
        <w:autoSpaceDE w:val="0"/>
        <w:autoSpaceDN w:val="0"/>
        <w:adjustRightInd w:val="0"/>
        <w:spacing w:line="320" w:lineRule="exact"/>
        <w:jc w:val="both"/>
        <w:rPr>
          <w:rFonts w:ascii="Tahoma" w:hAnsi="Tahoma" w:cs="Tahoma"/>
          <w:sz w:val="22"/>
          <w:szCs w:val="22"/>
        </w:rPr>
      </w:pPr>
      <w:r>
        <w:rPr>
          <w:noProof/>
        </w:rPr>
        <w:drawing>
          <wp:anchor distT="0" distB="0" distL="114300" distR="114300" simplePos="0" relativeHeight="251659264" behindDoc="0" locked="0" layoutInCell="1" allowOverlap="1">
            <wp:simplePos x="0" y="0"/>
            <wp:positionH relativeFrom="column">
              <wp:posOffset>4855210</wp:posOffset>
            </wp:positionH>
            <wp:positionV relativeFrom="paragraph">
              <wp:posOffset>113030</wp:posOffset>
            </wp:positionV>
            <wp:extent cx="1224280" cy="1659890"/>
            <wp:effectExtent l="19050" t="19050" r="33020" b="35560"/>
            <wp:wrapSquare wrapText="bothSides"/>
            <wp:docPr id="24" name="Immagine 24" descr="Nonostante San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nostante Sanrem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280" cy="1659890"/>
                    </a:xfrm>
                    <a:prstGeom prst="rect">
                      <a:avLst/>
                    </a:prstGeom>
                    <a:noFill/>
                    <a:ln w="6350">
                      <a:solidFill>
                        <a:srgbClr val="333333"/>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D51809" w:rsidRPr="002026CF">
        <w:rPr>
          <w:rFonts w:ascii="Tahoma" w:hAnsi="Tahoma" w:cs="Tahoma"/>
          <w:sz w:val="22"/>
          <w:szCs w:val="22"/>
        </w:rPr>
        <w:t xml:space="preserve">Da cinquant’anni il Festival di Sanremo, manifestazione nazional-popolare per eccellenza, inchioda l’Italia alla TV e arriccia nasi intellettuali. La sua è una storia di pregiudizi e contro-pregiudizi, di lustrini esibiti e malcelati veleni. Musica per i nostri occhi, carrozzone mediatico a presa immediata. Eppure, in un modo o nell’altro, “dalla città dei fiori” è passata la gran parte degli artisti eletti ad alfieri della musica d’autore, quella comunemente messa in contrapposizione al Festival. Perché se la canzone è tanti generi con relative varianti e possiede in sé la possibilità di trasformarsi in arte, di scolpirsi nella memoria o svanire come una brutta barzelletta, non conta molto il palco che vorrà o potrà utilizzare. Gli autori ci raccontano, rifacendosi alla storia, come anche Sanremo sia servito, con la sua straordinaria visibilità, a lanciare o consolidare talenti e come molti insospettabili della nostra canzone “colta”, pur non esibendosi, vi abbiano preso parte. Per arrivare alla consapevolezza che solo con un’attenta analisi di sessant’anni di Festival si può avere una storia della canzone italiana libera da schematismi e pregiudizi. </w:t>
      </w:r>
    </w:p>
    <w:p w:rsidR="005C0384" w:rsidRDefault="005C0384" w:rsidP="00E641BB">
      <w:pPr>
        <w:autoSpaceDE w:val="0"/>
        <w:autoSpaceDN w:val="0"/>
        <w:adjustRightInd w:val="0"/>
        <w:spacing w:line="320" w:lineRule="exact"/>
        <w:jc w:val="both"/>
        <w:rPr>
          <w:rFonts w:ascii="Tahoma" w:hAnsi="Tahoma" w:cs="Tahoma"/>
          <w:sz w:val="22"/>
          <w:szCs w:val="22"/>
        </w:rPr>
      </w:pPr>
    </w:p>
    <w:p w:rsidR="005C0384" w:rsidRDefault="005C0384" w:rsidP="00E641BB">
      <w:pPr>
        <w:autoSpaceDE w:val="0"/>
        <w:autoSpaceDN w:val="0"/>
        <w:adjustRightInd w:val="0"/>
        <w:spacing w:line="320" w:lineRule="exact"/>
        <w:jc w:val="both"/>
        <w:rPr>
          <w:rFonts w:ascii="Tahoma" w:hAnsi="Tahoma" w:cs="Tahoma"/>
          <w:sz w:val="22"/>
          <w:szCs w:val="22"/>
        </w:rPr>
      </w:pPr>
    </w:p>
    <w:p w:rsidR="005C0384" w:rsidRDefault="005C0384" w:rsidP="00E641BB">
      <w:pPr>
        <w:autoSpaceDE w:val="0"/>
        <w:autoSpaceDN w:val="0"/>
        <w:adjustRightInd w:val="0"/>
        <w:spacing w:line="320" w:lineRule="exact"/>
        <w:jc w:val="both"/>
        <w:rPr>
          <w:rFonts w:ascii="Tahoma" w:hAnsi="Tahoma" w:cs="Tahoma"/>
          <w:sz w:val="22"/>
          <w:szCs w:val="22"/>
        </w:rPr>
      </w:pPr>
    </w:p>
    <w:p w:rsidR="005C0384" w:rsidRDefault="005C0384" w:rsidP="00E641BB">
      <w:pPr>
        <w:autoSpaceDE w:val="0"/>
        <w:autoSpaceDN w:val="0"/>
        <w:adjustRightInd w:val="0"/>
        <w:spacing w:line="320" w:lineRule="exact"/>
        <w:jc w:val="both"/>
        <w:rPr>
          <w:rFonts w:ascii="Tahoma" w:hAnsi="Tahoma" w:cs="Tahoma"/>
          <w:sz w:val="22"/>
          <w:szCs w:val="22"/>
        </w:rPr>
      </w:pPr>
      <w:r>
        <w:rPr>
          <w:rFonts w:ascii="Tahoma" w:hAnsi="Tahoma" w:cs="Tahoma"/>
          <w:sz w:val="22"/>
          <w:szCs w:val="22"/>
        </w:rPr>
        <w:t xml:space="preserve">----------------------------------------------------------------------  </w:t>
      </w:r>
    </w:p>
    <w:p w:rsidR="005C0384" w:rsidRDefault="005C0384" w:rsidP="00E641BB">
      <w:pPr>
        <w:autoSpaceDE w:val="0"/>
        <w:autoSpaceDN w:val="0"/>
        <w:adjustRightInd w:val="0"/>
        <w:spacing w:line="320" w:lineRule="exact"/>
        <w:jc w:val="both"/>
        <w:rPr>
          <w:rFonts w:ascii="Tahoma" w:hAnsi="Tahoma" w:cs="Tahoma"/>
          <w:sz w:val="22"/>
          <w:szCs w:val="22"/>
        </w:rPr>
      </w:pPr>
    </w:p>
    <w:p w:rsidR="005C0384" w:rsidRDefault="005C0384" w:rsidP="005C0384">
      <w:pPr>
        <w:autoSpaceDE w:val="0"/>
        <w:autoSpaceDN w:val="0"/>
        <w:adjustRightInd w:val="0"/>
        <w:spacing w:line="320" w:lineRule="exact"/>
        <w:jc w:val="both"/>
        <w:rPr>
          <w:rFonts w:ascii="Tahoma" w:hAnsi="Tahoma" w:cs="Tahoma"/>
        </w:rPr>
      </w:pPr>
      <w:r>
        <w:rPr>
          <w:rFonts w:ascii="Tahoma" w:hAnsi="Tahoma" w:cs="Tahoma"/>
        </w:rPr>
        <w:t>Qui di seguito le note dei due autori, aggiornate per il nuovo libro 2018, da mettere nell’aletta in fondo al libro o dove ritenete vadano messe.</w:t>
      </w:r>
    </w:p>
    <w:p w:rsidR="005C0384" w:rsidRPr="005C0384" w:rsidRDefault="005C0384" w:rsidP="005C0384">
      <w:pPr>
        <w:widowControl w:val="0"/>
        <w:tabs>
          <w:tab w:val="left" w:pos="360"/>
        </w:tabs>
        <w:jc w:val="both"/>
        <w:rPr>
          <w:b/>
        </w:rPr>
      </w:pPr>
    </w:p>
    <w:p w:rsidR="005C0384" w:rsidRPr="005C0384" w:rsidRDefault="005C0384" w:rsidP="005C0384">
      <w:pPr>
        <w:widowControl w:val="0"/>
        <w:tabs>
          <w:tab w:val="left" w:pos="360"/>
        </w:tabs>
        <w:jc w:val="both"/>
        <w:rPr>
          <w:b/>
        </w:rPr>
      </w:pPr>
    </w:p>
    <w:p w:rsidR="005C0384" w:rsidRPr="005C0384" w:rsidRDefault="005C0384" w:rsidP="005C0384">
      <w:pPr>
        <w:widowControl w:val="0"/>
        <w:tabs>
          <w:tab w:val="left" w:pos="360"/>
        </w:tabs>
        <w:jc w:val="both"/>
        <w:rPr>
          <w:b/>
        </w:rPr>
      </w:pPr>
    </w:p>
    <w:p w:rsidR="005C0384" w:rsidRPr="005C0384" w:rsidRDefault="005C0384" w:rsidP="005C0384">
      <w:pPr>
        <w:widowControl w:val="0"/>
        <w:tabs>
          <w:tab w:val="left" w:pos="360"/>
        </w:tabs>
        <w:jc w:val="both"/>
        <w:rPr>
          <w:b/>
        </w:rPr>
      </w:pPr>
    </w:p>
    <w:p w:rsidR="005C0384" w:rsidRPr="005C0384" w:rsidRDefault="005C0384" w:rsidP="005C0384">
      <w:pPr>
        <w:widowControl w:val="0"/>
        <w:tabs>
          <w:tab w:val="left" w:pos="360"/>
        </w:tabs>
        <w:jc w:val="both"/>
      </w:pPr>
      <w:r w:rsidRPr="005C0384">
        <w:rPr>
          <w:b/>
        </w:rPr>
        <w:t>Paolo Jachia</w:t>
      </w:r>
      <w:r w:rsidRPr="005C0384">
        <w:t xml:space="preserve"> (Milano, 1958) ha conseguito l’abilitazione a Professore associato in ‘Letteratura Italiana, Critica Letteraria e Letterature Comparate’ e in ‘Letteratura italiana contemporanea’ e dal 2000 insegna a contratto ‘Semiotica della letteratura’ e ‘Semiotica delle arti’ presso l’Università degli Studi di Pavia e il Collegio Nuovo di Pavia. </w:t>
      </w:r>
    </w:p>
    <w:p w:rsidR="005C0384" w:rsidRPr="005C0384" w:rsidRDefault="005C0384" w:rsidP="005C0384">
      <w:pPr>
        <w:widowControl w:val="0"/>
        <w:tabs>
          <w:tab w:val="left" w:pos="360"/>
        </w:tabs>
        <w:jc w:val="both"/>
      </w:pPr>
      <w:r w:rsidRPr="005C0384">
        <w:t xml:space="preserve">Il suo primo libro è </w:t>
      </w:r>
      <w:r w:rsidRPr="005C0384">
        <w:rPr>
          <w:i/>
        </w:rPr>
        <w:t>Non solo oggi</w:t>
      </w:r>
      <w:r w:rsidRPr="005C0384">
        <w:t xml:space="preserve"> del 1991 con Franco Fortini, cui ha dedicato una monografia nel 2007 per Zona. Altri suoi libri: </w:t>
      </w:r>
      <w:r w:rsidRPr="005C0384">
        <w:rPr>
          <w:i/>
        </w:rPr>
        <w:t>De Sanctis</w:t>
      </w:r>
      <w:r w:rsidRPr="005C0384">
        <w:t xml:space="preserve"> e </w:t>
      </w:r>
      <w:r w:rsidRPr="005C0384">
        <w:rPr>
          <w:i/>
        </w:rPr>
        <w:t>Bachtin</w:t>
      </w:r>
      <w:r w:rsidRPr="005C0384">
        <w:t xml:space="preserve"> (entrambi presso Laterza), </w:t>
      </w:r>
      <w:r w:rsidRPr="005C0384">
        <w:rPr>
          <w:i/>
          <w:iCs/>
        </w:rPr>
        <w:t>Pirandello e il suo Cristo. Segni e indizi dal Fu Mattia Pascal</w:t>
      </w:r>
      <w:r w:rsidRPr="005C0384">
        <w:t xml:space="preserve">, Ancora 2007, </w:t>
      </w:r>
      <w:r w:rsidRPr="005C0384">
        <w:rPr>
          <w:i/>
          <w:iCs/>
        </w:rPr>
        <w:t>Apocalypse Now di F. F. Coppola</w:t>
      </w:r>
      <w:r w:rsidRPr="005C0384">
        <w:t xml:space="preserve">, Bulzoni 2010. Con Manni ha pubblicato </w:t>
      </w:r>
      <w:r w:rsidRPr="005C0384">
        <w:rPr>
          <w:i/>
        </w:rPr>
        <w:t xml:space="preserve">Eco 1955-2005: arte semiotica letteratura </w:t>
      </w:r>
      <w:r w:rsidRPr="005C0384">
        <w:t xml:space="preserve">(2006) </w:t>
      </w:r>
      <w:r w:rsidRPr="005C0384">
        <w:rPr>
          <w:i/>
        </w:rPr>
        <w:t xml:space="preserve">Dal segno al testo. Breve manuale di semiotica della letteratura e delle arti contemporanee </w:t>
      </w:r>
      <w:r w:rsidRPr="005C0384">
        <w:t xml:space="preserve">(2011) </w:t>
      </w:r>
      <w:r w:rsidRPr="005C0384">
        <w:rPr>
          <w:i/>
          <w:iCs/>
        </w:rPr>
        <w:t>Pirandello, Dostoevskij e la polifonia</w:t>
      </w:r>
      <w:r w:rsidRPr="005C0384">
        <w:t xml:space="preserve"> (2016).</w:t>
      </w:r>
    </w:p>
    <w:p w:rsidR="005C0384" w:rsidRPr="005C0384" w:rsidRDefault="005C0384" w:rsidP="005C0384">
      <w:pPr>
        <w:widowControl w:val="0"/>
        <w:tabs>
          <w:tab w:val="left" w:pos="360"/>
        </w:tabs>
        <w:jc w:val="both"/>
        <w:rPr>
          <w:i/>
          <w:snapToGrid w:val="0"/>
        </w:rPr>
      </w:pPr>
      <w:r w:rsidRPr="005C0384">
        <w:t xml:space="preserve">In ambito musicale ha scritto </w:t>
      </w:r>
      <w:r w:rsidRPr="005C0384">
        <w:rPr>
          <w:i/>
        </w:rPr>
        <w:t xml:space="preserve">La canzone d’autore italiana 1958-1997 </w:t>
      </w:r>
      <w:r w:rsidRPr="005C0384">
        <w:t xml:space="preserve">(Feltrinelli 1998), </w:t>
      </w:r>
      <w:r w:rsidRPr="005C0384">
        <w:rPr>
          <w:i/>
          <w:iCs/>
        </w:rPr>
        <w:t>Vecchioni</w:t>
      </w:r>
      <w:r w:rsidRPr="005C0384">
        <w:rPr>
          <w:rFonts w:eastAsia="SimSun"/>
          <w:i/>
        </w:rPr>
        <w:t xml:space="preserve"> </w:t>
      </w:r>
      <w:r w:rsidRPr="005C0384">
        <w:rPr>
          <w:rFonts w:eastAsia="SimSun"/>
          <w:iCs/>
        </w:rPr>
        <w:t>(</w:t>
      </w:r>
      <w:r w:rsidRPr="005C0384">
        <w:t xml:space="preserve">Frilli 2001), </w:t>
      </w:r>
      <w:r w:rsidRPr="005C0384">
        <w:rPr>
          <w:rFonts w:eastAsia="SimSun"/>
          <w:i/>
        </w:rPr>
        <w:t>Guccini</w:t>
      </w:r>
      <w:r w:rsidRPr="005C0384">
        <w:rPr>
          <w:rFonts w:eastAsia="SimSun"/>
        </w:rPr>
        <w:t xml:space="preserve"> (Ed. Riuniti 2002), </w:t>
      </w:r>
      <w:r w:rsidRPr="005C0384">
        <w:rPr>
          <w:rFonts w:eastAsia="SimSun"/>
          <w:i/>
        </w:rPr>
        <w:t>Gaber</w:t>
      </w:r>
      <w:r w:rsidRPr="005C0384">
        <w:rPr>
          <w:rFonts w:eastAsia="SimSun"/>
        </w:rPr>
        <w:t xml:space="preserve"> (Ed. Riuniti 2003), </w:t>
      </w:r>
      <w:r w:rsidRPr="005C0384">
        <w:rPr>
          <w:i/>
          <w:snapToGrid w:val="0"/>
        </w:rPr>
        <w:t>Franco Battiato</w:t>
      </w:r>
      <w:r w:rsidRPr="005C0384">
        <w:rPr>
          <w:snapToGrid w:val="0"/>
        </w:rPr>
        <w:t xml:space="preserve"> (Ancora 2005), </w:t>
      </w:r>
      <w:r w:rsidRPr="005C0384">
        <w:rPr>
          <w:i/>
        </w:rPr>
        <w:t>Nonostante Sanremo. Arte e canzone al Festival: 1958 2008</w:t>
      </w:r>
      <w:r w:rsidRPr="005C0384">
        <w:t xml:space="preserve"> (Coniglio 2008: con F. Paracchini), </w:t>
      </w:r>
      <w:r w:rsidRPr="005C0384">
        <w:rPr>
          <w:i/>
        </w:rPr>
        <w:t>De Gregori</w:t>
      </w:r>
      <w:r w:rsidRPr="005C0384">
        <w:t xml:space="preserve"> (Ancora 2009), </w:t>
      </w:r>
      <w:r w:rsidRPr="005C0384">
        <w:rPr>
          <w:rFonts w:eastAsia="SimSun"/>
          <w:i/>
        </w:rPr>
        <w:t xml:space="preserve">Dalla </w:t>
      </w:r>
      <w:r w:rsidRPr="005C0384">
        <w:rPr>
          <w:rFonts w:eastAsia="SimSun"/>
          <w:iCs/>
        </w:rPr>
        <w:t>(</w:t>
      </w:r>
      <w:r w:rsidRPr="005C0384">
        <w:rPr>
          <w:rFonts w:eastAsia="SimSun"/>
        </w:rPr>
        <w:t xml:space="preserve">Ancora 2013), </w:t>
      </w:r>
      <w:r w:rsidRPr="005C0384">
        <w:rPr>
          <w:rFonts w:eastAsia="SimSun"/>
          <w:i/>
        </w:rPr>
        <w:t>I Baustelle</w:t>
      </w:r>
      <w:r w:rsidRPr="005C0384">
        <w:rPr>
          <w:rFonts w:eastAsia="SimSun"/>
        </w:rPr>
        <w:t xml:space="preserve"> (Ancora 2014: con D. Pilla), </w:t>
      </w:r>
      <w:r w:rsidRPr="005C0384">
        <w:rPr>
          <w:rFonts w:eastAsia="SimSun"/>
          <w:i/>
        </w:rPr>
        <w:t>Baglioni-Morandi, due Capitani coraggiosi</w:t>
      </w:r>
      <w:r w:rsidRPr="005C0384">
        <w:rPr>
          <w:rFonts w:eastAsia="SimSun"/>
        </w:rPr>
        <w:t xml:space="preserve"> </w:t>
      </w:r>
      <w:r w:rsidRPr="005C0384">
        <w:t>(</w:t>
      </w:r>
      <w:r w:rsidRPr="005C0384">
        <w:rPr>
          <w:rFonts w:eastAsia="SimSun"/>
        </w:rPr>
        <w:t xml:space="preserve">Azzurra 2015: </w:t>
      </w:r>
      <w:r w:rsidRPr="005C0384">
        <w:t xml:space="preserve">con F. Paracchini), </w:t>
      </w:r>
      <w:r w:rsidRPr="005C0384">
        <w:rPr>
          <w:i/>
        </w:rPr>
        <w:t xml:space="preserve">Battiato 27 canzoni commentate </w:t>
      </w:r>
      <w:r w:rsidRPr="005C0384">
        <w:t xml:space="preserve">(D’Ambrosio 2017: con A. Pareyson). Con </w:t>
      </w:r>
      <w:r w:rsidRPr="005C0384">
        <w:rPr>
          <w:snapToGrid w:val="0"/>
        </w:rPr>
        <w:t xml:space="preserve">Zona, nel </w:t>
      </w:r>
      <w:smartTag w:uri="urn:schemas-microsoft-com:office:smarttags" w:element="metricconverter">
        <w:smartTagPr>
          <w:attr w:name="ProductID" w:val="2004, ha"/>
        </w:smartTagPr>
        <w:r w:rsidRPr="005C0384">
          <w:rPr>
            <w:snapToGrid w:val="0"/>
          </w:rPr>
          <w:t xml:space="preserve">2004, </w:t>
        </w:r>
        <w:r w:rsidRPr="005C0384">
          <w:t>ha</w:t>
        </w:r>
      </w:smartTag>
      <w:r w:rsidRPr="005C0384">
        <w:t xml:space="preserve"> pubblicato </w:t>
      </w:r>
      <w:r w:rsidRPr="005C0384">
        <w:rPr>
          <w:i/>
          <w:snapToGrid w:val="0"/>
        </w:rPr>
        <w:t>Ivano Fossati. Una vita controvento.</w:t>
      </w:r>
    </w:p>
    <w:p w:rsidR="005C0384" w:rsidRPr="005C0384" w:rsidRDefault="005C0384" w:rsidP="005C0384">
      <w:pPr>
        <w:widowControl w:val="0"/>
        <w:tabs>
          <w:tab w:val="left" w:pos="360"/>
        </w:tabs>
        <w:jc w:val="both"/>
        <w:rPr>
          <w:i/>
          <w:snapToGrid w:val="0"/>
        </w:rPr>
      </w:pPr>
    </w:p>
    <w:p w:rsidR="005C0384" w:rsidRPr="005C0384" w:rsidRDefault="005C0384" w:rsidP="005C0384">
      <w:pPr>
        <w:widowControl w:val="0"/>
        <w:tabs>
          <w:tab w:val="left" w:pos="360"/>
        </w:tabs>
        <w:jc w:val="both"/>
        <w:rPr>
          <w:szCs w:val="22"/>
        </w:rPr>
      </w:pPr>
    </w:p>
    <w:p w:rsidR="005C0384" w:rsidRPr="005C0384" w:rsidRDefault="005C0384" w:rsidP="005C0384">
      <w:pPr>
        <w:jc w:val="both"/>
        <w:rPr>
          <w:szCs w:val="22"/>
        </w:rPr>
      </w:pPr>
      <w:r w:rsidRPr="005C0384">
        <w:rPr>
          <w:b/>
          <w:szCs w:val="22"/>
        </w:rPr>
        <w:t>Francesco Paracchini</w:t>
      </w:r>
      <w:r w:rsidRPr="005C0384">
        <w:rPr>
          <w:szCs w:val="22"/>
        </w:rPr>
        <w:t xml:space="preserve"> (Milano, 1960) coordina da vent’anni </w:t>
      </w:r>
      <w:r w:rsidRPr="005C0384">
        <w:rPr>
          <w:i/>
          <w:szCs w:val="22"/>
        </w:rPr>
        <w:t>L’Isola che non c’era</w:t>
      </w:r>
      <w:r w:rsidRPr="005C0384">
        <w:rPr>
          <w:szCs w:val="22"/>
        </w:rPr>
        <w:t xml:space="preserve">, una delle realtà più attive sulla musica e sugli artisti italiani. Un lavoro di valorizzazione e promozione che vede nel sito </w:t>
      </w:r>
      <w:hyperlink r:id="rId7" w:history="1">
        <w:r w:rsidRPr="005C0384">
          <w:rPr>
            <w:color w:val="0563C1"/>
            <w:szCs w:val="22"/>
            <w:u w:val="single"/>
          </w:rPr>
          <w:t>www.lisolachenoncera.it</w:t>
        </w:r>
      </w:hyperlink>
      <w:r w:rsidRPr="005C0384">
        <w:rPr>
          <w:szCs w:val="22"/>
        </w:rPr>
        <w:t xml:space="preserve"> il principale terminale operativo. Ha curato la direzione artistica di molte rassegne, al Teatro Eliseo di Roma, alla Palazzina Liberty di Milano e per otto anni ha organizzato la manifestazione dedicata a Lucio Battisti ‘Un’avventura, le Emozioni’ che si è tenuta a Molteno (Lc). Da quindici anni è il direttore artistico del Premio ‘</w:t>
      </w:r>
      <w:r w:rsidRPr="005C0384">
        <w:rPr>
          <w:i/>
          <w:szCs w:val="22"/>
        </w:rPr>
        <w:t>L’artista che non c’era</w:t>
      </w:r>
      <w:r w:rsidRPr="005C0384">
        <w:rPr>
          <w:szCs w:val="22"/>
        </w:rPr>
        <w:t>’.</w:t>
      </w:r>
    </w:p>
    <w:p w:rsidR="005C0384" w:rsidRPr="005C0384" w:rsidRDefault="005C0384" w:rsidP="005C0384">
      <w:pPr>
        <w:jc w:val="both"/>
        <w:rPr>
          <w:szCs w:val="22"/>
        </w:rPr>
      </w:pPr>
      <w:r w:rsidRPr="005C0384">
        <w:rPr>
          <w:szCs w:val="22"/>
        </w:rPr>
        <w:t xml:space="preserve">Ama la canzone d’autore nell’accezione più ampia del termine, comprendendo quindi le molte sfaccettature e contaminazioni di cui si è arricchita negli anni. In virtù di questo è tra i più convinti sostenitori che questa forma d’arte abbia trovato una maggiore </w:t>
      </w:r>
      <w:r w:rsidR="00B025B1">
        <w:rPr>
          <w:szCs w:val="22"/>
        </w:rPr>
        <w:t xml:space="preserve">ricchezza e </w:t>
      </w:r>
      <w:r w:rsidRPr="005C0384">
        <w:rPr>
          <w:szCs w:val="22"/>
        </w:rPr>
        <w:t>completezza rispetto al significato originale.</w:t>
      </w:r>
    </w:p>
    <w:p w:rsidR="005C0384" w:rsidRPr="005C0384" w:rsidRDefault="005C0384" w:rsidP="005C0384">
      <w:pPr>
        <w:widowControl w:val="0"/>
        <w:tabs>
          <w:tab w:val="left" w:pos="360"/>
        </w:tabs>
        <w:jc w:val="both"/>
        <w:rPr>
          <w:szCs w:val="22"/>
        </w:rPr>
      </w:pPr>
    </w:p>
    <w:p w:rsidR="005C0384" w:rsidRPr="002026CF" w:rsidRDefault="005C0384" w:rsidP="00E641BB">
      <w:pPr>
        <w:autoSpaceDE w:val="0"/>
        <w:autoSpaceDN w:val="0"/>
        <w:adjustRightInd w:val="0"/>
        <w:spacing w:line="320" w:lineRule="exact"/>
        <w:jc w:val="both"/>
        <w:rPr>
          <w:rFonts w:ascii="Tahoma" w:hAnsi="Tahoma" w:cs="Tahoma"/>
        </w:rPr>
      </w:pPr>
    </w:p>
    <w:sectPr w:rsidR="005C0384" w:rsidRPr="002026CF" w:rsidSect="00F31A5F">
      <w:pgSz w:w="11900" w:h="16840"/>
      <w:pgMar w:top="1418"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0D" w:rsidRDefault="00265C0D">
      <w:r>
        <w:separator/>
      </w:r>
    </w:p>
  </w:endnote>
  <w:endnote w:type="continuationSeparator" w:id="0">
    <w:p w:rsidR="00265C0D" w:rsidRDefault="0026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0D" w:rsidRDefault="00265C0D">
      <w:r>
        <w:separator/>
      </w:r>
    </w:p>
  </w:footnote>
  <w:footnote w:type="continuationSeparator" w:id="0">
    <w:p w:rsidR="00265C0D" w:rsidRDefault="00265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79"/>
    <w:rsid w:val="000042D5"/>
    <w:rsid w:val="0002539B"/>
    <w:rsid w:val="000343D6"/>
    <w:rsid w:val="00040279"/>
    <w:rsid w:val="00052290"/>
    <w:rsid w:val="0006111B"/>
    <w:rsid w:val="000636FF"/>
    <w:rsid w:val="00066F4B"/>
    <w:rsid w:val="0007718D"/>
    <w:rsid w:val="00084CCD"/>
    <w:rsid w:val="00090417"/>
    <w:rsid w:val="00091DFD"/>
    <w:rsid w:val="000A77CF"/>
    <w:rsid w:val="000C5E52"/>
    <w:rsid w:val="000C7C33"/>
    <w:rsid w:val="000D6E3E"/>
    <w:rsid w:val="000D7D1B"/>
    <w:rsid w:val="000E0C73"/>
    <w:rsid w:val="000E3E5B"/>
    <w:rsid w:val="000F347F"/>
    <w:rsid w:val="001002E8"/>
    <w:rsid w:val="0010232D"/>
    <w:rsid w:val="00102C47"/>
    <w:rsid w:val="00105E5D"/>
    <w:rsid w:val="00107C28"/>
    <w:rsid w:val="001170C1"/>
    <w:rsid w:val="00147703"/>
    <w:rsid w:val="00150458"/>
    <w:rsid w:val="00155794"/>
    <w:rsid w:val="001604F2"/>
    <w:rsid w:val="00173789"/>
    <w:rsid w:val="00175BDD"/>
    <w:rsid w:val="00180EA1"/>
    <w:rsid w:val="001817F2"/>
    <w:rsid w:val="00182CB4"/>
    <w:rsid w:val="00182E77"/>
    <w:rsid w:val="001A4769"/>
    <w:rsid w:val="001B1E98"/>
    <w:rsid w:val="001B4544"/>
    <w:rsid w:val="001D4047"/>
    <w:rsid w:val="001E06AA"/>
    <w:rsid w:val="001F159C"/>
    <w:rsid w:val="001F31B4"/>
    <w:rsid w:val="002004CF"/>
    <w:rsid w:val="00205636"/>
    <w:rsid w:val="00216788"/>
    <w:rsid w:val="00244458"/>
    <w:rsid w:val="00261CCA"/>
    <w:rsid w:val="00265C0D"/>
    <w:rsid w:val="002700BC"/>
    <w:rsid w:val="00284DB9"/>
    <w:rsid w:val="002875FF"/>
    <w:rsid w:val="002D7333"/>
    <w:rsid w:val="002E1E40"/>
    <w:rsid w:val="00305FFD"/>
    <w:rsid w:val="0032171D"/>
    <w:rsid w:val="003404EC"/>
    <w:rsid w:val="00347526"/>
    <w:rsid w:val="003545A4"/>
    <w:rsid w:val="003558C0"/>
    <w:rsid w:val="00376F15"/>
    <w:rsid w:val="003825E1"/>
    <w:rsid w:val="00382994"/>
    <w:rsid w:val="0039150C"/>
    <w:rsid w:val="003B4C52"/>
    <w:rsid w:val="003C7D5F"/>
    <w:rsid w:val="003D11DD"/>
    <w:rsid w:val="003D6BEE"/>
    <w:rsid w:val="003E0903"/>
    <w:rsid w:val="003F24D5"/>
    <w:rsid w:val="00414E5A"/>
    <w:rsid w:val="00415391"/>
    <w:rsid w:val="00421CF6"/>
    <w:rsid w:val="0043444A"/>
    <w:rsid w:val="00455717"/>
    <w:rsid w:val="00460236"/>
    <w:rsid w:val="004638A6"/>
    <w:rsid w:val="00464300"/>
    <w:rsid w:val="00491C55"/>
    <w:rsid w:val="00495818"/>
    <w:rsid w:val="004B00EA"/>
    <w:rsid w:val="004D4613"/>
    <w:rsid w:val="004D5012"/>
    <w:rsid w:val="004E200B"/>
    <w:rsid w:val="004E3406"/>
    <w:rsid w:val="0050116D"/>
    <w:rsid w:val="005147A0"/>
    <w:rsid w:val="00521760"/>
    <w:rsid w:val="0055088B"/>
    <w:rsid w:val="00561F20"/>
    <w:rsid w:val="00563EB7"/>
    <w:rsid w:val="00575B35"/>
    <w:rsid w:val="005C0384"/>
    <w:rsid w:val="005D28D1"/>
    <w:rsid w:val="005E1FE3"/>
    <w:rsid w:val="005F6BF2"/>
    <w:rsid w:val="00600319"/>
    <w:rsid w:val="00600C34"/>
    <w:rsid w:val="006055C2"/>
    <w:rsid w:val="0060561E"/>
    <w:rsid w:val="006241E8"/>
    <w:rsid w:val="006245CA"/>
    <w:rsid w:val="00625F40"/>
    <w:rsid w:val="00661444"/>
    <w:rsid w:val="00662861"/>
    <w:rsid w:val="00671B32"/>
    <w:rsid w:val="006775A5"/>
    <w:rsid w:val="006C24C7"/>
    <w:rsid w:val="006F4B96"/>
    <w:rsid w:val="006F792A"/>
    <w:rsid w:val="00700D2F"/>
    <w:rsid w:val="007026EA"/>
    <w:rsid w:val="007063AB"/>
    <w:rsid w:val="007208E4"/>
    <w:rsid w:val="00730923"/>
    <w:rsid w:val="00730D65"/>
    <w:rsid w:val="0074266D"/>
    <w:rsid w:val="00742E7B"/>
    <w:rsid w:val="00762A4B"/>
    <w:rsid w:val="0076774E"/>
    <w:rsid w:val="00772F11"/>
    <w:rsid w:val="00773D6A"/>
    <w:rsid w:val="00780EF6"/>
    <w:rsid w:val="00783D5E"/>
    <w:rsid w:val="007B1D33"/>
    <w:rsid w:val="007D3374"/>
    <w:rsid w:val="007D3A58"/>
    <w:rsid w:val="007D3E00"/>
    <w:rsid w:val="007F4AB3"/>
    <w:rsid w:val="007F5B4D"/>
    <w:rsid w:val="00826F9D"/>
    <w:rsid w:val="00832B26"/>
    <w:rsid w:val="008358F7"/>
    <w:rsid w:val="008360B0"/>
    <w:rsid w:val="00844AB2"/>
    <w:rsid w:val="00852F2D"/>
    <w:rsid w:val="00861DFE"/>
    <w:rsid w:val="0086674A"/>
    <w:rsid w:val="00872592"/>
    <w:rsid w:val="00873097"/>
    <w:rsid w:val="00877E0D"/>
    <w:rsid w:val="00880E9A"/>
    <w:rsid w:val="008A7B9F"/>
    <w:rsid w:val="008C223F"/>
    <w:rsid w:val="008C7A42"/>
    <w:rsid w:val="008D0848"/>
    <w:rsid w:val="008E1F03"/>
    <w:rsid w:val="008F4AEA"/>
    <w:rsid w:val="008F4B6A"/>
    <w:rsid w:val="00901159"/>
    <w:rsid w:val="00901443"/>
    <w:rsid w:val="00920B0A"/>
    <w:rsid w:val="00921C36"/>
    <w:rsid w:val="00932633"/>
    <w:rsid w:val="0094137D"/>
    <w:rsid w:val="009530EC"/>
    <w:rsid w:val="00953BE8"/>
    <w:rsid w:val="00956F4B"/>
    <w:rsid w:val="00957917"/>
    <w:rsid w:val="009900A1"/>
    <w:rsid w:val="00990A7C"/>
    <w:rsid w:val="009943DB"/>
    <w:rsid w:val="009D1660"/>
    <w:rsid w:val="009E19F1"/>
    <w:rsid w:val="009E4A08"/>
    <w:rsid w:val="00A03C20"/>
    <w:rsid w:val="00A143F0"/>
    <w:rsid w:val="00A16A5F"/>
    <w:rsid w:val="00A21210"/>
    <w:rsid w:val="00A25651"/>
    <w:rsid w:val="00A26E3B"/>
    <w:rsid w:val="00A30DBC"/>
    <w:rsid w:val="00A32F9F"/>
    <w:rsid w:val="00A72D3F"/>
    <w:rsid w:val="00A751FD"/>
    <w:rsid w:val="00A76A8A"/>
    <w:rsid w:val="00A85D6C"/>
    <w:rsid w:val="00AB53A6"/>
    <w:rsid w:val="00AB662A"/>
    <w:rsid w:val="00AF03C2"/>
    <w:rsid w:val="00AF2307"/>
    <w:rsid w:val="00AF2A71"/>
    <w:rsid w:val="00AF681B"/>
    <w:rsid w:val="00B025B1"/>
    <w:rsid w:val="00B409E6"/>
    <w:rsid w:val="00B43133"/>
    <w:rsid w:val="00B54416"/>
    <w:rsid w:val="00B879B5"/>
    <w:rsid w:val="00B95A63"/>
    <w:rsid w:val="00B97F54"/>
    <w:rsid w:val="00BA6CE1"/>
    <w:rsid w:val="00BA73C3"/>
    <w:rsid w:val="00BC0878"/>
    <w:rsid w:val="00BD2215"/>
    <w:rsid w:val="00BD4BCE"/>
    <w:rsid w:val="00C14CBA"/>
    <w:rsid w:val="00C156E4"/>
    <w:rsid w:val="00C21066"/>
    <w:rsid w:val="00C21DD7"/>
    <w:rsid w:val="00C25333"/>
    <w:rsid w:val="00C350DC"/>
    <w:rsid w:val="00C37EEC"/>
    <w:rsid w:val="00C41DA2"/>
    <w:rsid w:val="00C63C60"/>
    <w:rsid w:val="00C72A30"/>
    <w:rsid w:val="00C73B8D"/>
    <w:rsid w:val="00CA5892"/>
    <w:rsid w:val="00CB49EC"/>
    <w:rsid w:val="00CB4FE4"/>
    <w:rsid w:val="00CC339E"/>
    <w:rsid w:val="00CC56AB"/>
    <w:rsid w:val="00D1478F"/>
    <w:rsid w:val="00D202A9"/>
    <w:rsid w:val="00D21E0D"/>
    <w:rsid w:val="00D51809"/>
    <w:rsid w:val="00D51BA8"/>
    <w:rsid w:val="00D85C44"/>
    <w:rsid w:val="00D91323"/>
    <w:rsid w:val="00D9263A"/>
    <w:rsid w:val="00DB51A4"/>
    <w:rsid w:val="00DB685E"/>
    <w:rsid w:val="00DD5FA8"/>
    <w:rsid w:val="00DE5F6B"/>
    <w:rsid w:val="00DE655F"/>
    <w:rsid w:val="00E060F6"/>
    <w:rsid w:val="00E32E29"/>
    <w:rsid w:val="00E424F4"/>
    <w:rsid w:val="00E533E3"/>
    <w:rsid w:val="00E641BB"/>
    <w:rsid w:val="00E739D8"/>
    <w:rsid w:val="00E8107E"/>
    <w:rsid w:val="00E84F18"/>
    <w:rsid w:val="00EA0E97"/>
    <w:rsid w:val="00EB45C7"/>
    <w:rsid w:val="00EC5BF1"/>
    <w:rsid w:val="00EF1BBF"/>
    <w:rsid w:val="00F04FCC"/>
    <w:rsid w:val="00F10C32"/>
    <w:rsid w:val="00F20E0A"/>
    <w:rsid w:val="00F23115"/>
    <w:rsid w:val="00F250C9"/>
    <w:rsid w:val="00F30D1C"/>
    <w:rsid w:val="00F31A5F"/>
    <w:rsid w:val="00F53779"/>
    <w:rsid w:val="00F55970"/>
    <w:rsid w:val="00F70EDC"/>
    <w:rsid w:val="00F91436"/>
    <w:rsid w:val="00FA31AC"/>
    <w:rsid w:val="00FB6DFE"/>
    <w:rsid w:val="00FD0FCD"/>
    <w:rsid w:val="00FD25F2"/>
    <w:rsid w:val="00FD7263"/>
    <w:rsid w:val="00FE3DC4"/>
    <w:rsid w:val="00FF3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0BBACB"/>
  <w15:chartTrackingRefBased/>
  <w15:docId w15:val="{FECDB978-B34B-423E-8E92-2021E663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53779"/>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Enfasigrassetto">
    <w:name w:val="Strong"/>
    <w:basedOn w:val="Carpredefinitoparagrafo"/>
    <w:qFormat/>
    <w:rsid w:val="00F30D1C"/>
    <w:rPr>
      <w:b/>
      <w:bCs/>
    </w:rPr>
  </w:style>
  <w:style w:type="character" w:styleId="Enfasicorsivo">
    <w:name w:val="Emphasis"/>
    <w:basedOn w:val="Carpredefinitoparagrafo"/>
    <w:qFormat/>
    <w:rsid w:val="00F30D1C"/>
    <w:rPr>
      <w:i/>
      <w:iCs/>
    </w:rPr>
  </w:style>
  <w:style w:type="paragraph" w:styleId="Testofumetto">
    <w:name w:val="Balloon Text"/>
    <w:basedOn w:val="Normale"/>
    <w:semiHidden/>
    <w:rsid w:val="007F4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14787">
      <w:bodyDiv w:val="1"/>
      <w:marLeft w:val="0"/>
      <w:marRight w:val="0"/>
      <w:marTop w:val="0"/>
      <w:marBottom w:val="0"/>
      <w:divBdr>
        <w:top w:val="none" w:sz="0" w:space="0" w:color="auto"/>
        <w:left w:val="none" w:sz="0" w:space="0" w:color="auto"/>
        <w:bottom w:val="none" w:sz="0" w:space="0" w:color="auto"/>
        <w:right w:val="none" w:sz="0" w:space="0" w:color="auto"/>
      </w:divBdr>
    </w:div>
    <w:div w:id="14816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solachenonce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5291</CharactersWithSpaces>
  <SharedDoc>false</SharedDoc>
  <HLinks>
    <vt:vector size="6" baseType="variant">
      <vt:variant>
        <vt:i4>7995442</vt:i4>
      </vt:variant>
      <vt:variant>
        <vt:i4>0</vt:i4>
      </vt:variant>
      <vt:variant>
        <vt:i4>0</vt:i4>
      </vt:variant>
      <vt:variant>
        <vt:i4>5</vt:i4>
      </vt:variant>
      <vt:variant>
        <vt:lpwstr>http://www.lisolachenoncera.it/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Coniglio Editore</dc:creator>
  <cp:keywords/>
  <dc:description/>
  <cp:lastModifiedBy>Francesco Paracchini</cp:lastModifiedBy>
  <cp:revision>3</cp:revision>
  <cp:lastPrinted>2007-07-05T16:08:00Z</cp:lastPrinted>
  <dcterms:created xsi:type="dcterms:W3CDTF">2017-11-29T15:55:00Z</dcterms:created>
  <dcterms:modified xsi:type="dcterms:W3CDTF">2017-11-29T15:56:00Z</dcterms:modified>
</cp:coreProperties>
</file>